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15AB4" w14:textId="25587631" w:rsidR="0088064E" w:rsidRDefault="009423D5" w:rsidP="009423D5">
      <w:pPr>
        <w:spacing w:line="276" w:lineRule="auto"/>
        <w:jc w:val="center"/>
      </w:pPr>
      <w:r>
        <w:rPr>
          <w:b/>
          <w:bCs/>
          <w:sz w:val="24"/>
          <w:szCs w:val="24"/>
        </w:rPr>
        <w:t>MODELLING DEFORESTATION RISK IN MONGOLIA'S CLOSED-CANOPY FORESTS: CARBON MARKETS AND FOREST MANAGEMENT</w:t>
      </w:r>
    </w:p>
    <w:p w14:paraId="57303D69" w14:textId="54C71A8D" w:rsidR="0088064E" w:rsidRDefault="009423D5" w:rsidP="009423D5">
      <w:pPr>
        <w:spacing w:before="120" w:after="120" w:line="276" w:lineRule="auto"/>
        <w:jc w:val="center"/>
      </w:pPr>
      <w:proofErr w:type="spellStart"/>
      <w:r>
        <w:rPr>
          <w:sz w:val="24"/>
          <w:szCs w:val="24"/>
        </w:rPr>
        <w:t>Tsogt</w:t>
      </w:r>
      <w:proofErr w:type="spellEnd"/>
      <w:r>
        <w:rPr>
          <w:sz w:val="24"/>
          <w:szCs w:val="24"/>
        </w:rPr>
        <w:t xml:space="preserve"> Khongor</w:t>
      </w:r>
      <w:r w:rsidRPr="009423D5">
        <w:rPr>
          <w:sz w:val="24"/>
          <w:szCs w:val="24"/>
          <w:vertAlign w:val="superscript"/>
        </w:rPr>
        <w:t>1</w:t>
      </w:r>
      <w:proofErr w:type="gramStart"/>
      <w:r>
        <w:rPr>
          <w:sz w:val="24"/>
          <w:szCs w:val="24"/>
          <w:vertAlign w:val="superscript"/>
        </w:rPr>
        <w:t>,2</w:t>
      </w:r>
      <w:proofErr w:type="gramEnd"/>
    </w:p>
    <w:p w14:paraId="70B0CB0B" w14:textId="56E57BE8" w:rsidR="0088064E" w:rsidRDefault="009423D5" w:rsidP="009423D5">
      <w:pPr>
        <w:spacing w:line="276" w:lineRule="auto"/>
      </w:pPr>
      <w:r w:rsidRPr="009423D5">
        <w:rPr>
          <w:i/>
          <w:iCs/>
          <w:vertAlign w:val="superscript"/>
        </w:rPr>
        <w:t>1</w:t>
      </w:r>
      <w:r>
        <w:rPr>
          <w:i/>
          <w:iCs/>
        </w:rPr>
        <w:t>Food and Agriculture Organization of the United Nations (FAO), Ulaanbaatar, Mongolia</w:t>
      </w:r>
    </w:p>
    <w:p w14:paraId="496A6666" w14:textId="75527D8B" w:rsidR="0088064E" w:rsidRDefault="009423D5" w:rsidP="009423D5">
      <w:pPr>
        <w:spacing w:line="276" w:lineRule="auto"/>
      </w:pPr>
      <w:r w:rsidRPr="009423D5">
        <w:rPr>
          <w:i/>
          <w:iCs/>
          <w:vertAlign w:val="superscript"/>
        </w:rPr>
        <w:t>2</w:t>
      </w:r>
      <w:r>
        <w:rPr>
          <w:i/>
          <w:iCs/>
        </w:rPr>
        <w:t>Mongolian Forest</w:t>
      </w:r>
      <w:r w:rsidR="00953A1F">
        <w:rPr>
          <w:i/>
          <w:iCs/>
        </w:rPr>
        <w:t xml:space="preserve"> Research Association NGO</w:t>
      </w:r>
      <w:r>
        <w:rPr>
          <w:i/>
          <w:iCs/>
        </w:rPr>
        <w:t xml:space="preserve">, </w:t>
      </w:r>
      <w:r>
        <w:rPr>
          <w:i/>
          <w:iCs/>
        </w:rPr>
        <w:t>Ulaanbaatar, Mongolia</w:t>
      </w:r>
    </w:p>
    <w:p w14:paraId="11E72535" w14:textId="218F8FE9" w:rsidR="0088064E" w:rsidRPr="009423D5" w:rsidRDefault="009423D5" w:rsidP="009423D5">
      <w:pPr>
        <w:spacing w:line="276" w:lineRule="auto"/>
        <w:rPr>
          <w:i/>
          <w:iCs/>
          <w:color w:val="002060"/>
        </w:rPr>
      </w:pPr>
      <w:r>
        <w:rPr>
          <w:i/>
          <w:iCs/>
          <w:color w:val="002060"/>
        </w:rPr>
        <w:t>*</w:t>
      </w:r>
      <w:hyperlink r:id="rId5" w:history="1">
        <w:r w:rsidRPr="009423D5">
          <w:rPr>
            <w:rStyle w:val="Hyperlink"/>
            <w:i/>
            <w:iCs/>
            <w:color w:val="002060"/>
          </w:rPr>
          <w:t>khongorts@gmail.com</w:t>
        </w:r>
      </w:hyperlink>
    </w:p>
    <w:p w14:paraId="3FDEFEF6" w14:textId="4D5E292D" w:rsidR="0088064E" w:rsidRDefault="006232C9" w:rsidP="009423D5">
      <w:pPr>
        <w:spacing w:before="240" w:line="276" w:lineRule="auto"/>
        <w:ind w:firstLine="547"/>
        <w:jc w:val="both"/>
      </w:pPr>
      <w:r>
        <w:rPr>
          <w:sz w:val="24"/>
          <w:szCs w:val="24"/>
        </w:rPr>
        <w:t xml:space="preserve">Mongolia’s forests represent a substantial and largely </w:t>
      </w:r>
      <w:proofErr w:type="spellStart"/>
      <w:r>
        <w:rPr>
          <w:sz w:val="24"/>
          <w:szCs w:val="24"/>
        </w:rPr>
        <w:t>unmonetised</w:t>
      </w:r>
      <w:proofErr w:type="spellEnd"/>
      <w:r>
        <w:rPr>
          <w:sz w:val="24"/>
          <w:szCs w:val="24"/>
        </w:rPr>
        <w:t xml:space="preserve"> carbon stock. Yet forest carbon narrative has been shaped almost entirely by afforestation: the national Billion Tree Program and related reforestation initiatives have attracted significant international attention as a carbon sequestration opportunity. This emphasis, while valuable, overlooks a parallel and equally important opportunity</w:t>
      </w:r>
      <w:r w:rsidR="00F85505">
        <w:rPr>
          <w:sz w:val="24"/>
          <w:szCs w:val="24"/>
        </w:rPr>
        <w:t>,</w:t>
      </w:r>
      <w:r>
        <w:rPr>
          <w:sz w:val="24"/>
          <w:szCs w:val="24"/>
        </w:rPr>
        <w:t xml:space="preserve"> reducing emissions from the loss and degradation of existing forests through fire risk management. Wildfire is the primary threat to Mongolia's forest, capable of releasing decades of sequestered carbon within a single event. Spatially explicit deforestation risk modelling is therefore not merely a scientific exercise: it is the analytical foundation for quantifying, verifying, and ultimately trading avoided emission reductions from existing forests in international carbon markets. This study presents the application of an open-source spatial risk modelling tool to Mongolia's closed-canopy forest cover, using Global Forest Change (GFC) satellite data for three reference periods: 2010, 2018, and 2023.</w:t>
      </w:r>
    </w:p>
    <w:p w14:paraId="28C116B8" w14:textId="12A9AF99" w:rsidR="0088064E" w:rsidRDefault="009423D5" w:rsidP="009423D5">
      <w:pPr>
        <w:spacing w:line="276" w:lineRule="auto"/>
        <w:ind w:firstLine="547"/>
        <w:jc w:val="both"/>
      </w:pPr>
      <w:r>
        <w:rPr>
          <w:sz w:val="24"/>
          <w:szCs w:val="24"/>
        </w:rPr>
        <w:t xml:space="preserve">The </w:t>
      </w:r>
      <w:r w:rsidR="006232C9">
        <w:rPr>
          <w:sz w:val="24"/>
          <w:szCs w:val="24"/>
        </w:rPr>
        <w:t>tool</w:t>
      </w:r>
      <w:r>
        <w:rPr>
          <w:sz w:val="24"/>
          <w:szCs w:val="24"/>
        </w:rPr>
        <w:t xml:space="preserve"> implements a binomial logistic regression with an intrinsic Conditional Autoregressive (</w:t>
      </w:r>
      <w:proofErr w:type="spellStart"/>
      <w:r>
        <w:rPr>
          <w:sz w:val="24"/>
          <w:szCs w:val="24"/>
        </w:rPr>
        <w:t>iCAR</w:t>
      </w:r>
      <w:proofErr w:type="spellEnd"/>
      <w:r>
        <w:rPr>
          <w:sz w:val="24"/>
          <w:szCs w:val="24"/>
        </w:rPr>
        <w:t>) spati</w:t>
      </w:r>
      <w:r>
        <w:rPr>
          <w:sz w:val="24"/>
          <w:szCs w:val="24"/>
        </w:rPr>
        <w:t xml:space="preserve">al random effect, estimated via Bayesian Markov Chain Monte Carlo (MCMC) sampling. The </w:t>
      </w:r>
      <w:proofErr w:type="spellStart"/>
      <w:r>
        <w:rPr>
          <w:sz w:val="24"/>
          <w:szCs w:val="24"/>
        </w:rPr>
        <w:t>iCAR</w:t>
      </w:r>
      <w:proofErr w:type="spellEnd"/>
      <w:r>
        <w:rPr>
          <w:sz w:val="24"/>
          <w:szCs w:val="24"/>
        </w:rPr>
        <w:t xml:space="preserve"> component explicitly captures spatial autocorrelation in deforestation probability across </w:t>
      </w:r>
      <w:r w:rsidR="006232C9">
        <w:rPr>
          <w:sz w:val="24"/>
          <w:szCs w:val="24"/>
        </w:rPr>
        <w:t xml:space="preserve">user defined </w:t>
      </w:r>
      <w:proofErr w:type="spellStart"/>
      <w:r>
        <w:rPr>
          <w:sz w:val="24"/>
          <w:szCs w:val="24"/>
        </w:rPr>
        <w:t>neighbourhood</w:t>
      </w:r>
      <w:proofErr w:type="spellEnd"/>
      <w:r>
        <w:rPr>
          <w:sz w:val="24"/>
          <w:szCs w:val="24"/>
        </w:rPr>
        <w:t xml:space="preserve"> structure, which standard logistic regression a</w:t>
      </w:r>
      <w:r>
        <w:rPr>
          <w:sz w:val="24"/>
          <w:szCs w:val="24"/>
        </w:rPr>
        <w:t xml:space="preserve">nd machine learning models cannot do. GFC data at 30×30 </w:t>
      </w:r>
      <w:proofErr w:type="spellStart"/>
      <w:r>
        <w:rPr>
          <w:sz w:val="24"/>
          <w:szCs w:val="24"/>
        </w:rPr>
        <w:t>metre</w:t>
      </w:r>
      <w:proofErr w:type="spellEnd"/>
      <w:r>
        <w:rPr>
          <w:sz w:val="24"/>
          <w:szCs w:val="24"/>
        </w:rPr>
        <w:t xml:space="preserve"> resolution (pixel area = 0.09 ha) defined binary forest cover change across a 13-year historical calibration period (2010–2023). A balanced sample of 10,000 deforested and 10,000 forested pixels</w:t>
      </w:r>
      <w:r>
        <w:rPr>
          <w:sz w:val="24"/>
          <w:szCs w:val="24"/>
        </w:rPr>
        <w:t xml:space="preserve"> was drawn by stratified random sampling. The plugin's default candidate variable set comprised: distance to rivers, roads, forest edge, and settlements; protected area status; altitude; and slope</w:t>
      </w:r>
      <w:r w:rsidR="006232C9">
        <w:rPr>
          <w:sz w:val="24"/>
          <w:szCs w:val="24"/>
        </w:rPr>
        <w:t>,</w:t>
      </w:r>
      <w:r>
        <w:rPr>
          <w:sz w:val="24"/>
          <w:szCs w:val="24"/>
        </w:rPr>
        <w:t xml:space="preserve"> all sourced from global open datasets. Additional Mongolia</w:t>
      </w:r>
      <w:r>
        <w:rPr>
          <w:sz w:val="24"/>
          <w:szCs w:val="24"/>
        </w:rPr>
        <w:t xml:space="preserve">-specific variables were prepared and tested: MODIS fire hotspot presence (time-stratified: 2010–2017 for period 1; 2018–2023 for period 2), burnt area (binary presence), and global population density (untransformed continuous values). </w:t>
      </w:r>
    </w:p>
    <w:p w14:paraId="6C18F6E3" w14:textId="422294CA" w:rsidR="0088064E" w:rsidRDefault="009423D5" w:rsidP="009423D5">
      <w:pPr>
        <w:spacing w:line="276" w:lineRule="auto"/>
        <w:ind w:firstLine="547"/>
        <w:jc w:val="both"/>
      </w:pPr>
      <w:r>
        <w:rPr>
          <w:sz w:val="24"/>
          <w:szCs w:val="24"/>
        </w:rPr>
        <w:t>Two model configur</w:t>
      </w:r>
      <w:r>
        <w:rPr>
          <w:sz w:val="24"/>
          <w:szCs w:val="24"/>
        </w:rPr>
        <w:t xml:space="preserve">ations are reported and compared. The primary model retained only distance to river alongside the </w:t>
      </w:r>
      <w:proofErr w:type="spellStart"/>
      <w:r>
        <w:rPr>
          <w:sz w:val="24"/>
          <w:szCs w:val="24"/>
        </w:rPr>
        <w:t>iCAR</w:t>
      </w:r>
      <w:proofErr w:type="spellEnd"/>
      <w:r>
        <w:rPr>
          <w:sz w:val="24"/>
          <w:szCs w:val="24"/>
        </w:rPr>
        <w:t xml:space="preserve"> spatial random effect, with all other default and additional variables dropped automatically. The alternative model was run without the fire hotspot, bur</w:t>
      </w:r>
      <w:r>
        <w:rPr>
          <w:sz w:val="24"/>
          <w:szCs w:val="24"/>
        </w:rPr>
        <w:t>nt area, and population density variables, retaining the same default variable set. Table 1 presents the model comparison statistics.</w:t>
      </w:r>
    </w:p>
    <w:p w14:paraId="14C4527C" w14:textId="77777777" w:rsidR="0088064E" w:rsidRDefault="0088064E" w:rsidP="009423D5">
      <w:pPr>
        <w:spacing w:line="276" w:lineRule="auto"/>
        <w:jc w:val="both"/>
      </w:pPr>
    </w:p>
    <w:p w14:paraId="240FC25B" w14:textId="77777777" w:rsidR="0032490A" w:rsidRDefault="0032490A" w:rsidP="009423D5">
      <w:pPr>
        <w:spacing w:line="276" w:lineRule="auto"/>
        <w:rPr>
          <w:b/>
          <w:bCs/>
          <w:sz w:val="22"/>
          <w:szCs w:val="22"/>
        </w:rPr>
      </w:pPr>
      <w:r>
        <w:rPr>
          <w:b/>
          <w:bCs/>
          <w:sz w:val="22"/>
          <w:szCs w:val="22"/>
        </w:rPr>
        <w:br w:type="page"/>
      </w:r>
    </w:p>
    <w:p w14:paraId="4A9D27CD" w14:textId="2E699898" w:rsidR="0088064E" w:rsidRPr="009423D5" w:rsidRDefault="009423D5" w:rsidP="009423D5">
      <w:pPr>
        <w:spacing w:before="120" w:after="80" w:line="276" w:lineRule="auto"/>
        <w:jc w:val="center"/>
        <w:rPr>
          <w:sz w:val="24"/>
          <w:szCs w:val="24"/>
        </w:rPr>
      </w:pPr>
      <w:r w:rsidRPr="009423D5">
        <w:rPr>
          <w:bCs/>
          <w:sz w:val="24"/>
          <w:szCs w:val="24"/>
        </w:rPr>
        <w:lastRenderedPageBreak/>
        <w:t>Table 1. Posterior parameter estimates and model comparison</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80"/>
        <w:gridCol w:w="1754"/>
        <w:gridCol w:w="1701"/>
        <w:gridCol w:w="2006"/>
        <w:gridCol w:w="1783"/>
      </w:tblGrid>
      <w:tr w:rsidR="0088064E" w14:paraId="6FEDE28F" w14:textId="77777777" w:rsidTr="009423D5">
        <w:trPr>
          <w:tblHeader/>
        </w:trPr>
        <w:tc>
          <w:tcPr>
            <w:tcW w:w="0" w:type="auto"/>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7EC7F09" w14:textId="77777777" w:rsidR="0088064E" w:rsidRDefault="009423D5" w:rsidP="009423D5">
            <w:pPr>
              <w:spacing w:line="276" w:lineRule="auto"/>
              <w:jc w:val="center"/>
            </w:pPr>
            <w:r>
              <w:rPr>
                <w:b/>
                <w:bCs/>
              </w:rPr>
              <w:t>Parameter</w:t>
            </w:r>
          </w:p>
        </w:tc>
        <w:tc>
          <w:tcPr>
            <w:tcW w:w="1754"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6D241CE" w14:textId="77777777" w:rsidR="0088064E" w:rsidRDefault="009423D5" w:rsidP="009423D5">
            <w:pPr>
              <w:spacing w:line="276" w:lineRule="auto"/>
              <w:jc w:val="center"/>
            </w:pPr>
            <w:r>
              <w:rPr>
                <w:b/>
                <w:bCs/>
              </w:rPr>
              <w:t>Primary model (with fire/pop)</w:t>
            </w:r>
          </w:p>
        </w:tc>
        <w:tc>
          <w:tcPr>
            <w:tcW w:w="1701"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B3344E4" w14:textId="77777777" w:rsidR="0088064E" w:rsidRDefault="009423D5" w:rsidP="009423D5">
            <w:pPr>
              <w:spacing w:line="276" w:lineRule="auto"/>
              <w:jc w:val="center"/>
            </w:pPr>
            <w:r>
              <w:rPr>
                <w:b/>
                <w:bCs/>
              </w:rPr>
              <w:t>CI 95% (primary)</w:t>
            </w:r>
          </w:p>
        </w:tc>
        <w:tc>
          <w:tcPr>
            <w:tcW w:w="200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8E6BC7D" w14:textId="77777777" w:rsidR="0088064E" w:rsidRDefault="009423D5" w:rsidP="009423D5">
            <w:pPr>
              <w:spacing w:line="276" w:lineRule="auto"/>
              <w:jc w:val="center"/>
            </w:pPr>
            <w:r>
              <w:rPr>
                <w:b/>
                <w:bCs/>
              </w:rPr>
              <w:t>A</w:t>
            </w:r>
            <w:r>
              <w:rPr>
                <w:b/>
                <w:bCs/>
              </w:rPr>
              <w:t>lternative model (without fire/pop)</w:t>
            </w:r>
          </w:p>
        </w:tc>
        <w:tc>
          <w:tcPr>
            <w:tcW w:w="0" w:type="auto"/>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6D9E333" w14:textId="77777777" w:rsidR="0088064E" w:rsidRDefault="009423D5" w:rsidP="009423D5">
            <w:pPr>
              <w:spacing w:line="276" w:lineRule="auto"/>
              <w:jc w:val="center"/>
            </w:pPr>
            <w:r>
              <w:rPr>
                <w:b/>
                <w:bCs/>
              </w:rPr>
              <w:t>CI 95% (alternative)</w:t>
            </w:r>
          </w:p>
        </w:tc>
      </w:tr>
      <w:tr w:rsidR="0088064E" w14:paraId="2C8ACF07" w14:textId="77777777" w:rsidTr="009423D5">
        <w:tc>
          <w:tcPr>
            <w:tcW w:w="0" w:type="auto"/>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4196949" w14:textId="77777777" w:rsidR="0088064E" w:rsidRDefault="009423D5" w:rsidP="009423D5">
            <w:pPr>
              <w:spacing w:line="276" w:lineRule="auto"/>
            </w:pPr>
            <w:r>
              <w:t>Intercept</w:t>
            </w:r>
          </w:p>
        </w:tc>
        <w:tc>
          <w:tcPr>
            <w:tcW w:w="1754"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DE8C733" w14:textId="77777777" w:rsidR="0088064E" w:rsidRDefault="009423D5" w:rsidP="009423D5">
            <w:pPr>
              <w:spacing w:line="276" w:lineRule="auto"/>
              <w:jc w:val="center"/>
            </w:pPr>
            <w:r>
              <w:t>−2.18</w:t>
            </w:r>
          </w:p>
        </w:tc>
        <w:tc>
          <w:tcPr>
            <w:tcW w:w="1701"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62EB369" w14:textId="77777777" w:rsidR="0088064E" w:rsidRDefault="009423D5" w:rsidP="009423D5">
            <w:pPr>
              <w:spacing w:line="276" w:lineRule="auto"/>
              <w:jc w:val="center"/>
            </w:pPr>
            <w:r>
              <w:t>−2.47 to −1.78</w:t>
            </w:r>
          </w:p>
        </w:tc>
        <w:tc>
          <w:tcPr>
            <w:tcW w:w="200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8A5B2B6" w14:textId="77777777" w:rsidR="0088064E" w:rsidRDefault="009423D5" w:rsidP="009423D5">
            <w:pPr>
              <w:spacing w:line="276" w:lineRule="auto"/>
              <w:jc w:val="center"/>
            </w:pPr>
            <w:r>
              <w:t>−1.69</w:t>
            </w:r>
          </w:p>
        </w:tc>
        <w:tc>
          <w:tcPr>
            <w:tcW w:w="0" w:type="auto"/>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7C5DBB6" w14:textId="77777777" w:rsidR="0088064E" w:rsidRDefault="009423D5" w:rsidP="009423D5">
            <w:pPr>
              <w:spacing w:line="276" w:lineRule="auto"/>
              <w:jc w:val="center"/>
            </w:pPr>
            <w:r>
              <w:t>−1.92 to −1.43</w:t>
            </w:r>
          </w:p>
        </w:tc>
      </w:tr>
      <w:tr w:rsidR="0088064E" w14:paraId="1B7F7048" w14:textId="77777777" w:rsidTr="009423D5">
        <w:tc>
          <w:tcPr>
            <w:tcW w:w="0" w:type="auto"/>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4350753" w14:textId="3022209D" w:rsidR="0088064E" w:rsidRDefault="008318EB" w:rsidP="009423D5">
            <w:pPr>
              <w:spacing w:line="276" w:lineRule="auto"/>
            </w:pPr>
            <w:r>
              <w:rPr>
                <w:i/>
                <w:iCs/>
              </w:rPr>
              <w:t>Distance to river</w:t>
            </w:r>
          </w:p>
        </w:tc>
        <w:tc>
          <w:tcPr>
            <w:tcW w:w="1754"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166D570" w14:textId="77777777" w:rsidR="0088064E" w:rsidRDefault="009423D5" w:rsidP="009423D5">
            <w:pPr>
              <w:spacing w:line="276" w:lineRule="auto"/>
              <w:jc w:val="center"/>
            </w:pPr>
            <w:r>
              <w:rPr>
                <w:b/>
                <w:bCs/>
              </w:rPr>
              <w:t>−0.135 ✓</w:t>
            </w:r>
          </w:p>
        </w:tc>
        <w:tc>
          <w:tcPr>
            <w:tcW w:w="1701"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117252B" w14:textId="77777777" w:rsidR="0088064E" w:rsidRDefault="009423D5" w:rsidP="009423D5">
            <w:pPr>
              <w:spacing w:line="276" w:lineRule="auto"/>
              <w:jc w:val="center"/>
            </w:pPr>
            <w:r>
              <w:t>−0.232 to −0.048</w:t>
            </w:r>
          </w:p>
        </w:tc>
        <w:tc>
          <w:tcPr>
            <w:tcW w:w="200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FF9C9A6" w14:textId="77777777" w:rsidR="0088064E" w:rsidRDefault="009423D5" w:rsidP="009423D5">
            <w:pPr>
              <w:spacing w:line="276" w:lineRule="auto"/>
              <w:jc w:val="center"/>
            </w:pPr>
            <w:r>
              <w:t>−0.012 ✗</w:t>
            </w:r>
          </w:p>
        </w:tc>
        <w:tc>
          <w:tcPr>
            <w:tcW w:w="0" w:type="auto"/>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CB9B5C8" w14:textId="77777777" w:rsidR="0088064E" w:rsidRDefault="009423D5" w:rsidP="009423D5">
            <w:pPr>
              <w:spacing w:line="276" w:lineRule="auto"/>
              <w:jc w:val="center"/>
            </w:pPr>
            <w:r>
              <w:t>−0.084 to +0.048</w:t>
            </w:r>
          </w:p>
        </w:tc>
      </w:tr>
      <w:tr w:rsidR="0088064E" w14:paraId="1E72EA7E" w14:textId="77777777" w:rsidTr="009423D5">
        <w:tc>
          <w:tcPr>
            <w:tcW w:w="0" w:type="auto"/>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3033D99" w14:textId="77777777" w:rsidR="0088064E" w:rsidRDefault="009423D5" w:rsidP="009423D5">
            <w:pPr>
              <w:spacing w:line="276" w:lineRule="auto"/>
            </w:pPr>
            <w:proofErr w:type="spellStart"/>
            <w:r>
              <w:t>Vrho</w:t>
            </w:r>
            <w:proofErr w:type="spellEnd"/>
            <w:r>
              <w:t xml:space="preserve"> (spatial variance)</w:t>
            </w:r>
          </w:p>
        </w:tc>
        <w:tc>
          <w:tcPr>
            <w:tcW w:w="1754"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E5EB5FA" w14:textId="77777777" w:rsidR="0088064E" w:rsidRDefault="009423D5" w:rsidP="009423D5">
            <w:pPr>
              <w:spacing w:line="276" w:lineRule="auto"/>
              <w:jc w:val="center"/>
            </w:pPr>
            <w:r>
              <w:rPr>
                <w:b/>
                <w:bCs/>
              </w:rPr>
              <w:t>21.9</w:t>
            </w:r>
          </w:p>
        </w:tc>
        <w:tc>
          <w:tcPr>
            <w:tcW w:w="1701"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27815C9" w14:textId="77777777" w:rsidR="0088064E" w:rsidRDefault="009423D5" w:rsidP="009423D5">
            <w:pPr>
              <w:spacing w:line="276" w:lineRule="auto"/>
              <w:jc w:val="center"/>
            </w:pPr>
            <w:r>
              <w:t>19.3 to 25.0</w:t>
            </w:r>
          </w:p>
        </w:tc>
        <w:tc>
          <w:tcPr>
            <w:tcW w:w="200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3E881F5" w14:textId="77777777" w:rsidR="0088064E" w:rsidRDefault="009423D5" w:rsidP="009423D5">
            <w:pPr>
              <w:spacing w:line="276" w:lineRule="auto"/>
              <w:jc w:val="center"/>
            </w:pPr>
            <w:r>
              <w:t>5.53</w:t>
            </w:r>
          </w:p>
        </w:tc>
        <w:tc>
          <w:tcPr>
            <w:tcW w:w="0" w:type="auto"/>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9CE67DB" w14:textId="77777777" w:rsidR="0088064E" w:rsidRDefault="009423D5" w:rsidP="009423D5">
            <w:pPr>
              <w:spacing w:line="276" w:lineRule="auto"/>
              <w:jc w:val="center"/>
            </w:pPr>
            <w:r>
              <w:t>2.96 to 8.59</w:t>
            </w:r>
          </w:p>
        </w:tc>
      </w:tr>
      <w:tr w:rsidR="0088064E" w14:paraId="314E117A" w14:textId="77777777" w:rsidTr="009423D5">
        <w:tc>
          <w:tcPr>
            <w:tcW w:w="0" w:type="auto"/>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99AA483" w14:textId="77777777" w:rsidR="0088064E" w:rsidRDefault="009423D5" w:rsidP="009423D5">
            <w:pPr>
              <w:spacing w:line="276" w:lineRule="auto"/>
            </w:pPr>
            <w:r>
              <w:t xml:space="preserve">Residual </w:t>
            </w:r>
            <w:r>
              <w:t>deviance</w:t>
            </w:r>
          </w:p>
        </w:tc>
        <w:tc>
          <w:tcPr>
            <w:tcW w:w="1754"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7CA60D07" w14:textId="77777777" w:rsidR="0088064E" w:rsidRDefault="009423D5" w:rsidP="009423D5">
            <w:pPr>
              <w:spacing w:line="276" w:lineRule="auto"/>
              <w:jc w:val="center"/>
            </w:pPr>
            <w:r>
              <w:t>12,695</w:t>
            </w:r>
          </w:p>
        </w:tc>
        <w:tc>
          <w:tcPr>
            <w:tcW w:w="1701"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94EC4C6" w14:textId="77777777" w:rsidR="0088064E" w:rsidRDefault="009423D5" w:rsidP="009423D5">
            <w:pPr>
              <w:spacing w:line="276" w:lineRule="auto"/>
              <w:jc w:val="center"/>
            </w:pPr>
            <w:r>
              <w:t>12,600 to 12,800</w:t>
            </w:r>
          </w:p>
        </w:tc>
        <w:tc>
          <w:tcPr>
            <w:tcW w:w="200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DDFA3E4" w14:textId="77777777" w:rsidR="0088064E" w:rsidRDefault="009423D5" w:rsidP="009423D5">
            <w:pPr>
              <w:spacing w:line="276" w:lineRule="auto"/>
              <w:jc w:val="center"/>
            </w:pPr>
            <w:r>
              <w:t>11,300</w:t>
            </w:r>
          </w:p>
        </w:tc>
        <w:tc>
          <w:tcPr>
            <w:tcW w:w="0" w:type="auto"/>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779F3200" w14:textId="77777777" w:rsidR="0088064E" w:rsidRDefault="009423D5" w:rsidP="009423D5">
            <w:pPr>
              <w:spacing w:line="276" w:lineRule="auto"/>
              <w:jc w:val="center"/>
            </w:pPr>
            <w:r>
              <w:t>10,300 to 12,400</w:t>
            </w:r>
          </w:p>
        </w:tc>
      </w:tr>
    </w:tbl>
    <w:p w14:paraId="24C406F1" w14:textId="581FBF27" w:rsidR="0088064E" w:rsidRDefault="009423D5" w:rsidP="009423D5">
      <w:pPr>
        <w:spacing w:line="276" w:lineRule="auto"/>
      </w:pPr>
      <w:r>
        <w:rPr>
          <w:i/>
          <w:iCs/>
        </w:rPr>
        <w:t xml:space="preserve">✓ = credible interval does not cross zero (significant); </w:t>
      </w:r>
      <w:r>
        <w:rPr>
          <w:i/>
          <w:iCs/>
        </w:rPr>
        <w:t>✗ = credible interval crosses zero (not significant)</w:t>
      </w:r>
    </w:p>
    <w:p w14:paraId="4FC9ABCD" w14:textId="0B9FED4F" w:rsidR="0088064E" w:rsidRDefault="009423D5" w:rsidP="009423D5">
      <w:pPr>
        <w:spacing w:before="120" w:line="276" w:lineRule="auto"/>
        <w:ind w:firstLine="540"/>
        <w:jc w:val="both"/>
      </w:pPr>
      <w:r>
        <w:rPr>
          <w:sz w:val="24"/>
          <w:szCs w:val="24"/>
        </w:rPr>
        <w:t xml:space="preserve">In the primary model, distance to river is a statistically significant predictor (CI: </w:t>
      </w:r>
      <w:r>
        <w:rPr>
          <w:sz w:val="24"/>
          <w:szCs w:val="24"/>
        </w:rPr>
        <w:t>−0.232 to −0.048). In the alternative model run without fire-related variables, the same coefficient becomes non-significant, with its credible interval crossing zero (CI: −0.084 to +0.048). This demonstrates that river proximity does not independently dri</w:t>
      </w:r>
      <w:r>
        <w:rPr>
          <w:sz w:val="24"/>
          <w:szCs w:val="24"/>
        </w:rPr>
        <w:t>ve deforestation risk in Mongolia: rather, it is a spatial proxy for fire-mediated human access. A distinctly Mongolian dynamic underlies this finding. Winter timber harvesting and other forest resource extraction follow frozen rivers as the primary access</w:t>
      </w:r>
      <w:r>
        <w:rPr>
          <w:sz w:val="24"/>
          <w:szCs w:val="24"/>
        </w:rPr>
        <w:t xml:space="preserve"> routes into otherwise inaccessible mountainous terrain. Proximity to a river therefore represents accessibility in winter</w:t>
      </w:r>
      <w:r w:rsidR="00F85505">
        <w:rPr>
          <w:sz w:val="24"/>
          <w:szCs w:val="24"/>
        </w:rPr>
        <w:t>,</w:t>
      </w:r>
      <w:r>
        <w:rPr>
          <w:sz w:val="24"/>
          <w:szCs w:val="24"/>
        </w:rPr>
        <w:t xml:space="preserve"> the season of active forest use</w:t>
      </w:r>
      <w:r w:rsidR="00F85505">
        <w:rPr>
          <w:sz w:val="24"/>
          <w:szCs w:val="24"/>
        </w:rPr>
        <w:t>,</w:t>
      </w:r>
      <w:r>
        <w:rPr>
          <w:sz w:val="24"/>
          <w:szCs w:val="24"/>
        </w:rPr>
        <w:t xml:space="preserve"> not agricultural or settlement pressure as it would in tropical REDD+ contexts. This interpretation</w:t>
      </w:r>
      <w:r>
        <w:rPr>
          <w:sz w:val="24"/>
          <w:szCs w:val="24"/>
        </w:rPr>
        <w:t xml:space="preserve"> has a direct management implication: the development of year-round road infrastructure into forested areas could reduce reliance on frozen river access, making forest use more controllable and </w:t>
      </w:r>
      <w:proofErr w:type="spellStart"/>
      <w:r>
        <w:rPr>
          <w:sz w:val="24"/>
          <w:szCs w:val="24"/>
        </w:rPr>
        <w:t>monitorable</w:t>
      </w:r>
      <w:proofErr w:type="spellEnd"/>
      <w:r>
        <w:rPr>
          <w:sz w:val="24"/>
          <w:szCs w:val="24"/>
        </w:rPr>
        <w:t>, and thereby reducing risk.</w:t>
      </w:r>
    </w:p>
    <w:p w14:paraId="07574546" w14:textId="41874A96" w:rsidR="009D5EBD" w:rsidRDefault="009D5EBD" w:rsidP="009423D5">
      <w:pPr>
        <w:spacing w:line="276" w:lineRule="auto"/>
        <w:ind w:firstLine="540"/>
        <w:jc w:val="both"/>
      </w:pPr>
      <w:r>
        <w:rPr>
          <w:sz w:val="24"/>
          <w:szCs w:val="24"/>
        </w:rPr>
        <w:t xml:space="preserve">Despite limitations, the </w:t>
      </w:r>
      <w:proofErr w:type="spellStart"/>
      <w:r>
        <w:rPr>
          <w:sz w:val="24"/>
          <w:szCs w:val="24"/>
        </w:rPr>
        <w:t>iCAR</w:t>
      </w:r>
      <w:proofErr w:type="spellEnd"/>
      <w:r>
        <w:rPr>
          <w:sz w:val="24"/>
          <w:szCs w:val="24"/>
        </w:rPr>
        <w:t xml:space="preserve"> risk map produced by the tool provides an actionable foundation for Mongolia's engagement with carbon markets. Mongolia's current carbon finance activity is concentrated in afforestation under the Billion Tree Program, but this study argues for a complementary and equally important second track: avoided emissions from deforestation risk reduction. Every hectare of standing forest protected from fire represents a verifiable emission reduction that can be quantified against a credible baseline, validated through the risk map framework, and traded under </w:t>
      </w:r>
      <w:proofErr w:type="spellStart"/>
      <w:r>
        <w:rPr>
          <w:sz w:val="24"/>
          <w:szCs w:val="24"/>
        </w:rPr>
        <w:t>Verra's</w:t>
      </w:r>
      <w:proofErr w:type="spellEnd"/>
      <w:r>
        <w:rPr>
          <w:sz w:val="24"/>
          <w:szCs w:val="24"/>
        </w:rPr>
        <w:t xml:space="preserve"> VM0048 methodology (module VMD0055; tool VT0007) or the ART-TREES jurisdictional standard. The tool was specifically designed to meet these methodological requirements: it produces the benchmark risk map, supports validation against alternative models, and enables proportional allocation of activity data to project areas, the three core technical requirements for carbon credit issuance under VM0048. A dual-track carbon strategy, afforestation credits alongside avoided deforestation credits from fire management, would more fully </w:t>
      </w:r>
      <w:proofErr w:type="spellStart"/>
      <w:r>
        <w:rPr>
          <w:sz w:val="24"/>
          <w:szCs w:val="24"/>
        </w:rPr>
        <w:t>monetise</w:t>
      </w:r>
      <w:proofErr w:type="spellEnd"/>
      <w:r>
        <w:rPr>
          <w:sz w:val="24"/>
          <w:szCs w:val="24"/>
        </w:rPr>
        <w:t xml:space="preserve"> Mongolia's forest sector contribution to its Nationally Determined Contribution under the Paris Agreement.</w:t>
      </w:r>
    </w:p>
    <w:p w14:paraId="5B9F3F96" w14:textId="77777777" w:rsidR="009D5EBD" w:rsidRDefault="009D5EBD" w:rsidP="009423D5">
      <w:pPr>
        <w:spacing w:line="276" w:lineRule="auto"/>
        <w:jc w:val="both"/>
      </w:pPr>
    </w:p>
    <w:sectPr w:rsidR="009D5EB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52DEB"/>
    <w:multiLevelType w:val="hybridMultilevel"/>
    <w:tmpl w:val="D004B8D0"/>
    <w:lvl w:ilvl="0" w:tplc="B232CA0A">
      <w:start w:val="1"/>
      <w:numFmt w:val="bullet"/>
      <w:lvlText w:val="●"/>
      <w:lvlJc w:val="left"/>
      <w:pPr>
        <w:ind w:left="720" w:hanging="360"/>
      </w:pPr>
    </w:lvl>
    <w:lvl w:ilvl="1" w:tplc="708AF4DE">
      <w:start w:val="1"/>
      <w:numFmt w:val="bullet"/>
      <w:lvlText w:val="○"/>
      <w:lvlJc w:val="left"/>
      <w:pPr>
        <w:ind w:left="1440" w:hanging="360"/>
      </w:pPr>
    </w:lvl>
    <w:lvl w:ilvl="2" w:tplc="8C169CC8">
      <w:start w:val="1"/>
      <w:numFmt w:val="bullet"/>
      <w:lvlText w:val="■"/>
      <w:lvlJc w:val="left"/>
      <w:pPr>
        <w:ind w:left="2160" w:hanging="360"/>
      </w:pPr>
    </w:lvl>
    <w:lvl w:ilvl="3" w:tplc="294CA1F8">
      <w:start w:val="1"/>
      <w:numFmt w:val="bullet"/>
      <w:lvlText w:val="●"/>
      <w:lvlJc w:val="left"/>
      <w:pPr>
        <w:ind w:left="2880" w:hanging="360"/>
      </w:pPr>
    </w:lvl>
    <w:lvl w:ilvl="4" w:tplc="2AF8B142">
      <w:start w:val="1"/>
      <w:numFmt w:val="bullet"/>
      <w:lvlText w:val="○"/>
      <w:lvlJc w:val="left"/>
      <w:pPr>
        <w:ind w:left="3600" w:hanging="360"/>
      </w:pPr>
    </w:lvl>
    <w:lvl w:ilvl="5" w:tplc="CFD6CA6A">
      <w:start w:val="1"/>
      <w:numFmt w:val="bullet"/>
      <w:lvlText w:val="■"/>
      <w:lvlJc w:val="left"/>
      <w:pPr>
        <w:ind w:left="4320" w:hanging="360"/>
      </w:pPr>
    </w:lvl>
    <w:lvl w:ilvl="6" w:tplc="CD32B2F4">
      <w:start w:val="1"/>
      <w:numFmt w:val="bullet"/>
      <w:lvlText w:val="●"/>
      <w:lvlJc w:val="left"/>
      <w:pPr>
        <w:ind w:left="5040" w:hanging="360"/>
      </w:pPr>
    </w:lvl>
    <w:lvl w:ilvl="7" w:tplc="BC386790">
      <w:start w:val="1"/>
      <w:numFmt w:val="bullet"/>
      <w:lvlText w:val="●"/>
      <w:lvlJc w:val="left"/>
      <w:pPr>
        <w:ind w:left="5760" w:hanging="360"/>
      </w:pPr>
    </w:lvl>
    <w:lvl w:ilvl="8" w:tplc="5B320F1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4E"/>
    <w:rsid w:val="001C4B59"/>
    <w:rsid w:val="00213BC3"/>
    <w:rsid w:val="0032490A"/>
    <w:rsid w:val="003D6546"/>
    <w:rsid w:val="006232C9"/>
    <w:rsid w:val="008318EB"/>
    <w:rsid w:val="0088064E"/>
    <w:rsid w:val="009423D5"/>
    <w:rsid w:val="00953A1F"/>
    <w:rsid w:val="00997A85"/>
    <w:rsid w:val="009C5962"/>
    <w:rsid w:val="009D5EBD"/>
    <w:rsid w:val="00BD4FF7"/>
    <w:rsid w:val="00D97451"/>
    <w:rsid w:val="00ED1F11"/>
    <w:rsid w:val="00F8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9AD9"/>
  <w15:docId w15:val="{39C8651D-9006-4B4A-9F2F-34A15217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hongor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8</cp:revision>
  <dcterms:created xsi:type="dcterms:W3CDTF">2026-03-18T06:07:00Z</dcterms:created>
  <dcterms:modified xsi:type="dcterms:W3CDTF">2026-04-14T09:24:00Z</dcterms:modified>
</cp:coreProperties>
</file>